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730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161488777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2076D6E5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A1ED2A1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5B83303F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2DEBED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464C5C21" w14:textId="77777777" w:rsidR="00675AB5" w:rsidRPr="00FC2803" w:rsidRDefault="00675AB5" w:rsidP="00675A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7A773AE5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1B6C62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19DBEB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5916AAEC" w14:textId="5DDB509C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</w:t>
      </w:r>
    </w:p>
    <w:p w14:paraId="55A816F2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564E365A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СНЯТИЕ КРИВОЙ НАМАГНИЧИВАНИЯ И</w:t>
      </w:r>
    </w:p>
    <w:p w14:paraId="1187FD87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ПЕТЛИ ГИСТЕРЕЗИСА С ПОМОЩЬЮ</w:t>
      </w:r>
    </w:p>
    <w:p w14:paraId="6273C2F4" w14:textId="2915EDED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ОСЦИЛЛОГРАФА</w:t>
      </w: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0E0AFD5C" w14:textId="77777777" w:rsidR="00675AB5" w:rsidRPr="00FC2803" w:rsidRDefault="00675AB5" w:rsidP="00675AB5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6A6696B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9271426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75AB5" w:rsidRPr="00FC2803" w14:paraId="487493E4" w14:textId="77777777" w:rsidTr="006A4480">
        <w:tc>
          <w:tcPr>
            <w:tcW w:w="4111" w:type="dxa"/>
            <w:vAlign w:val="center"/>
          </w:tcPr>
          <w:p w14:paraId="7B3CCD51" w14:textId="2ABCF343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Выполнил:   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</w:t>
            </w:r>
            <w:r w:rsidR="0084283A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Чефранов А.А</w:t>
            </w: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669DA29F" w14:textId="77777777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3B5A5B69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14718CDC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75AB5" w:rsidRPr="00FC2803" w14:paraId="2B01733C" w14:textId="77777777" w:rsidTr="006A4480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592DC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FF1F1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675AB5" w:rsidRPr="00FC2803" w14:paraId="677B1C01" w14:textId="77777777" w:rsidTr="006A4480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E7F9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29A6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B331F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4F8D8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675AB5" w:rsidRPr="00FC2803" w14:paraId="65A54F56" w14:textId="77777777" w:rsidTr="006A4480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52A3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53637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D7B1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5082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1E1745B" w14:textId="77777777" w:rsidR="00675AB5" w:rsidRPr="00FC2803" w:rsidRDefault="00675AB5" w:rsidP="00675AB5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397FEF" w14:textId="77777777" w:rsidR="00675AB5" w:rsidRPr="00FC2803" w:rsidRDefault="00675AB5" w:rsidP="00675AB5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bookmarkEnd w:id="0"/>
    <w:p w14:paraId="325102DE" w14:textId="77777777" w:rsidR="00675AB5" w:rsidRPr="00675AB5" w:rsidRDefault="00675AB5" w:rsidP="00675A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</w:p>
    <w:p w14:paraId="1B632E8A" w14:textId="5688B6FE" w:rsidR="00795132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Изучение гистерезиса ферромагнетика, исследование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зависимости магнитной проницаемости ферромагнетика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напряженности магнитного поля.</w:t>
      </w:r>
    </w:p>
    <w:p w14:paraId="6CCD6A38" w14:textId="6C3841EA" w:rsidR="00675AB5" w:rsidRPr="00675AB5" w:rsidRDefault="00675AB5" w:rsidP="003675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t>Порядок выполнения экспериментальной</w:t>
      </w:r>
      <w:r w:rsidR="003675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b/>
          <w:bCs/>
          <w:sz w:val="28"/>
          <w:szCs w:val="28"/>
        </w:rPr>
        <w:t>части работы</w:t>
      </w:r>
    </w:p>
    <w:p w14:paraId="4926DC28" w14:textId="55E11FF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1. Подключить лабораторный макет по схеме (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см.рис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304.1).</w:t>
      </w:r>
    </w:p>
    <w:p w14:paraId="238512D9" w14:textId="1DAD864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2. Установить частоту генератора равную 1000 Гц,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выходное напряжение 8 В, а переключатель «НАГРУЗКА»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положение – 50 Ом.</w:t>
      </w:r>
    </w:p>
    <w:p w14:paraId="419AF6DC" w14:textId="2B575973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3. Подключить питание генератора сигналов низкой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частоты (НЧ) Г3-123 и включить сетевой тумблер.</w:t>
      </w:r>
    </w:p>
    <w:p w14:paraId="409B9A1C" w14:textId="4F8C4738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4. Подключить питание осциллографа АСК-7022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включить сетевой выключатель «POWER» (СЕТЬ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)(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рис. 304.2).</w:t>
      </w:r>
    </w:p>
    <w:p w14:paraId="5325ED3F" w14:textId="45F6FAA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5. После прогрева осциллографа,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«INTEN» (ЯРКОСТЬ) установить необходимую яркость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луча.</w:t>
      </w:r>
    </w:p>
    <w:p w14:paraId="1E68645F" w14:textId="5313E24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При необходимости произвести установку яркости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цифровой индикации регулятором «READOUT»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(ПОКАЗАНИЯ), а фокусировку луча –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«FOCUS» (ФОКУСИРОВКА).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6. Включить на осциллографе режим Х-Y, нажав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кнопку «Х-Y». При этом Канал-1 осциллографа будет</w:t>
      </w:r>
    </w:p>
    <w:p w14:paraId="00F27614" w14:textId="5849A63A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производить отклонение луча по оси Х, а Канал-2 –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Y.</w:t>
      </w:r>
    </w:p>
    <w:p w14:paraId="585D2830" w14:textId="74C3A3C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7. Установить переключателями чувствительности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«VOLTS/DIV» (ВОЛЬТ/ДЕЛ.) коэффициент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отклонения Канала -1 в положение 2 V/дел., а Канала-2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положение 100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/дел. При этом в левом нижнем углу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экрана цифровые индикаторы будут показывать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2: 100mV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36A78B" w14:textId="2DC0DE0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Нажатие на ручку этого переключателя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приведѐт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установке некалиброванного коэффициента отклонения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канала. (При этом, на экране появится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надпись: «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 :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2V 2 : &gt; 100mV»). Этот режим не используется в данной работе, поэтому для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калиброванного коэффициента следует повторно нажать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эту ручку.</w:t>
      </w:r>
    </w:p>
    <w:p w14:paraId="3B405E95" w14:textId="2EED537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8. Кнопками включения каналов «СН1» (КАНАЛ1)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«СН2» (КАНАЛ2) и с помощью регуляторов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положения луча на экране «POSITION» (ПОЛОЖЕНИЕ)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установите изображение петли гистерезиса в центре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Положение по оси Х можно устанавливать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 (в правом верхнем углу передней панели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осциллографа),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 при нажатии кнопки «FINE»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(ПЛАВНО), производится плавная регулировка.</w:t>
      </w:r>
    </w:p>
    <w:p w14:paraId="50AF06B6" w14:textId="61F3D55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9. Кнопками «GND» (ЗАЗЕМЛЕНИЕ)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отключать сигнал, подаваемый на 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 и получать линию на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Таким образом, можно точнее установить положение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гистерезиса в центре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экрана. Для этого нажмите кнопку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«GND» Канала-1. Так как при этом на вход Канала-1 (Вход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Х) не будет поступать сигнал, то луч будет отклоняться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только по оси Y, и на экране будет видна вертикальная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линия, которую необходимо регулятором 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совместить с центральной вертикальной линией шкалы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экрана. После центровки по оси Х необходимо повторным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нажатием на кнопку «GND» Канала-1 снова включить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сигнал, подаваемый на вход Канала-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1.Затем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произвести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аналогичные операции с центровкой изображения по оси 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 помощью кнопки «GND» Канала-2 и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«POSITION» Канала-2</w:t>
      </w:r>
    </w:p>
    <w:p w14:paraId="6F71C634" w14:textId="0978587B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675AB5">
        <w:rPr>
          <w:rFonts w:ascii="Times New Roman" w:hAnsi="Times New Roman" w:cs="Times New Roman"/>
          <w:sz w:val="28"/>
          <w:szCs w:val="28"/>
        </w:rPr>
        <w:t>0. Кнопка «INV» (ИНВЕРТИРОВАНИЕ) в Канале-2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 инвертирование изображения (изменения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полярности сигнала). Кнопка «ADD» (СУММИРОВАНИЕ)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Канале-1 включает режим суммирования сигналов,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поступающих на входы каналов. В данной лабораторной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работе эти кнопки не используются и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выключены.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Кнопки «AC/DC» служат для переключения входов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в режим закрытого или открытого входа.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закрытом входе на надписи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 : 100mV »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буквой V появляется знак « ~ ». Для уменьшения искажений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входы обоих каналов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установить в режим открытого входа (DC).</w:t>
      </w:r>
    </w:p>
    <w:p w14:paraId="7BBAC9C2" w14:textId="7777777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11. Установить максимальный размер изображения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с помощью декадных ступенчатых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переключателей и ручкой плавной установки выходного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напряжения генератора Г3-123.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Зарисовать на миллиметровой бумаге петлю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гистерезиса, соответствующую максимальному напряжению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8 В, подаваемому с выхода генератора ГЗ - 123 и подсчитать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число клеток β, охватываемых петлей гистерезиса.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10A893" w14:textId="0B20932D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Измерение напряжений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ΔVу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пропорциональных Н и В соответственно</w:t>
      </w:r>
    </w:p>
    <w:p w14:paraId="01A5E9EE" w14:textId="720651B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12. В осциллографе АСК-7022 есть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производить измерения с помощью курсоров. В режиме Х-Y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измерять разность напряжения как по оси Х, так 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оси Y, что ускоряет измерения параметров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 и значительно уменьшает погрешность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по сравнению с традиционными методами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с помощью масштабной сетки экрана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осциллографа. Для включения курсорных измерений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необходимо нажать кнопку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OFF »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, которая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переключает виды курсоров в последовательности: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горизонтальные курсоры – вертикальные курсоры –</w:t>
      </w:r>
    </w:p>
    <w:p w14:paraId="1AA9C1DA" w14:textId="0A65F866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выкл. В режиме Х-Y оба вида курсора будут 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показания разности ΔV по соответствующей оси.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включении горизонтальных курсоров на экране появляются</w:t>
      </w:r>
    </w:p>
    <w:p w14:paraId="376F9E35" w14:textId="0924F915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две пунктирные горизонтальные линии курсора С1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курсора С2,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кнопкой выбора активного курсора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«ТСК/С2» можно сделать активным любой из курсоров: С1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или С2, а в режиме ТСК (СЛЕЖЕНИЕ) будут активны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оба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курсора (режим слежения в данной работе не используется).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 экране справа вверху появляется надпись «f: Y – C1»,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означающая что выбран режим измерения по оси Y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активен курсор С1. Если выбран активным курсор С2, то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появится надпись «f: Y – C2». Активный курсор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выделен яркой меткой на конце пунктира,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перемещать, вращая ручку «FUNCTION»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(ФУНКЦИЯ), которая при нажатии на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неѐ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грубое перемещение.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Выбрав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 вертикальные курсоры,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производить измерения разности напряжения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Х. При этом на экране появится надпись: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f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: Х – C1» или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«f: Х – C2» в зависимости от выбранного курсора.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Отсчѐт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показаний курсоров ΔV будет показан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нижнем левом углу экрана. Для режима Х-Y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вертикальных курсорах (измерения по оси Х) показания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будут на экране в виде ΔV1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=….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V, а для горизонтальных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курсоров (измерения по оси Y) – в виде ΔV2 =….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нашем случае можно обозначить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а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надо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OFF» горизонтальные курсоры и, нажав кнопку «GND»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Канала-1, получить вертикальную линию. Затем установить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 С1 на нижний конец линии, а курсор С2 –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верхний и считать показания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Результаты измерений занести в табл. 304.1.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вертикальные курсоры и, нажав кнопку «GND» Канала-2,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получить горизонтальную линию. Затем установить курсор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С1 на левый конец линии, а курсор С2 – на правый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считать показания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 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измерений занести в табл. 304.1.</w:t>
      </w:r>
    </w:p>
    <w:p w14:paraId="25E738B0" w14:textId="34154D18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13. Получить на экране семейство петель гистерезиса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(6-8), уменьшая подаваемое напряжение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декадного переключателя генератора НЧ. Шаг изменяемого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напряжение 1 В. Измерить для каждой из петель величины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(см. п. 12.), данные занести в табл. 304</w:t>
      </w:r>
      <w:r>
        <w:rPr>
          <w:rFonts w:ascii="Times New Roman" w:hAnsi="Times New Roman" w:cs="Times New Roman"/>
          <w:sz w:val="28"/>
          <w:szCs w:val="28"/>
        </w:rPr>
        <w:t>.1</w:t>
      </w:r>
      <w:r w:rsidR="00A50CD5">
        <w:rPr>
          <w:rFonts w:ascii="Times New Roman" w:hAnsi="Times New Roman" w:cs="Times New Roman"/>
          <w:sz w:val="28"/>
          <w:szCs w:val="28"/>
        </w:rPr>
        <w:t xml:space="preserve">                             табл.304.1</w:t>
      </w:r>
    </w:p>
    <w:tbl>
      <w:tblPr>
        <w:tblStyle w:val="a3"/>
        <w:tblW w:w="9893" w:type="dxa"/>
        <w:tblLook w:val="04A0" w:firstRow="1" w:lastRow="0" w:firstColumn="1" w:lastColumn="0" w:noHBand="0" w:noVBand="1"/>
      </w:tblPr>
      <w:tblGrid>
        <w:gridCol w:w="1413"/>
        <w:gridCol w:w="1413"/>
        <w:gridCol w:w="1413"/>
        <w:gridCol w:w="1413"/>
        <w:gridCol w:w="1413"/>
        <w:gridCol w:w="1414"/>
        <w:gridCol w:w="1414"/>
      </w:tblGrid>
      <w:tr w:rsidR="00A50CD5" w14:paraId="3A69B518" w14:textId="77777777" w:rsidTr="00A50CD5">
        <w:trPr>
          <w:trHeight w:val="437"/>
        </w:trPr>
        <w:tc>
          <w:tcPr>
            <w:tcW w:w="1413" w:type="dxa"/>
          </w:tcPr>
          <w:p w14:paraId="20D9C6EC" w14:textId="5D271255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413" w:type="dxa"/>
          </w:tcPr>
          <w:p w14:paraId="5DB10727" w14:textId="6519BDD8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ΔVx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413" w:type="dxa"/>
          </w:tcPr>
          <w:p w14:paraId="6B6C3E94" w14:textId="0A6C86B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ΔVy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413" w:type="dxa"/>
          </w:tcPr>
          <w:p w14:paraId="32A9A4AF" w14:textId="47F8BF80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А/м</w:t>
            </w:r>
          </w:p>
        </w:tc>
        <w:tc>
          <w:tcPr>
            <w:tcW w:w="1413" w:type="dxa"/>
          </w:tcPr>
          <w:p w14:paraId="311F9D39" w14:textId="5ABEB5C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Тл</w:t>
            </w:r>
          </w:p>
        </w:tc>
        <w:tc>
          <w:tcPr>
            <w:tcW w:w="1414" w:type="dxa"/>
          </w:tcPr>
          <w:p w14:paraId="24DF70C5" w14:textId="3729A47F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μ =В/μ0Н</w:t>
            </w:r>
          </w:p>
        </w:tc>
        <w:tc>
          <w:tcPr>
            <w:tcW w:w="1414" w:type="dxa"/>
          </w:tcPr>
          <w:p w14:paraId="2AF5FFF9" w14:textId="1FAD3D8F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A/м</w:t>
            </w:r>
          </w:p>
        </w:tc>
      </w:tr>
      <w:tr w:rsidR="00A50CD5" w14:paraId="34497A6A" w14:textId="77777777" w:rsidTr="00A50CD5">
        <w:trPr>
          <w:trHeight w:val="437"/>
        </w:trPr>
        <w:tc>
          <w:tcPr>
            <w:tcW w:w="1413" w:type="dxa"/>
          </w:tcPr>
          <w:p w14:paraId="0455380F" w14:textId="541F566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14:paraId="54543E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EFC6C9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DEC18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0B4699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4362D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42A5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698FD24" w14:textId="77777777" w:rsidTr="00A50CD5">
        <w:trPr>
          <w:trHeight w:val="437"/>
        </w:trPr>
        <w:tc>
          <w:tcPr>
            <w:tcW w:w="1413" w:type="dxa"/>
          </w:tcPr>
          <w:p w14:paraId="01EA056F" w14:textId="5142F494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DF2D6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DD4C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D6DA3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A7DD3B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09AC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BAEA9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2137300F" w14:textId="77777777" w:rsidTr="00A50CD5">
        <w:trPr>
          <w:trHeight w:val="458"/>
        </w:trPr>
        <w:tc>
          <w:tcPr>
            <w:tcW w:w="1413" w:type="dxa"/>
          </w:tcPr>
          <w:p w14:paraId="1634339C" w14:textId="10ADA3F7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14:paraId="6BAC9F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7DEA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1937AE5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1DE8FF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246ACD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C62467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6A29AC8" w14:textId="77777777" w:rsidTr="00A50CD5">
        <w:trPr>
          <w:trHeight w:val="437"/>
        </w:trPr>
        <w:tc>
          <w:tcPr>
            <w:tcW w:w="1413" w:type="dxa"/>
          </w:tcPr>
          <w:p w14:paraId="5D3B7295" w14:textId="7077F82B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4CA7B4B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CDA51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443CC9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80D414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F8F35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1221A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5ED3E73C" w14:textId="77777777" w:rsidTr="00A50CD5">
        <w:trPr>
          <w:trHeight w:val="437"/>
        </w:trPr>
        <w:tc>
          <w:tcPr>
            <w:tcW w:w="1413" w:type="dxa"/>
          </w:tcPr>
          <w:p w14:paraId="27188F39" w14:textId="457887B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14:paraId="743B49C2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1897F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2E68A1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4B6B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223E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6D75B3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08A78C0" w14:textId="77777777" w:rsidTr="00A50CD5">
        <w:trPr>
          <w:trHeight w:val="437"/>
        </w:trPr>
        <w:tc>
          <w:tcPr>
            <w:tcW w:w="1413" w:type="dxa"/>
          </w:tcPr>
          <w:p w14:paraId="025ACBDB" w14:textId="3BFBB905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14:paraId="704B48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33B966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00600C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599D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F565D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520B5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B650C90" w14:textId="77777777" w:rsidTr="00A50CD5">
        <w:trPr>
          <w:trHeight w:val="437"/>
        </w:trPr>
        <w:tc>
          <w:tcPr>
            <w:tcW w:w="1413" w:type="dxa"/>
          </w:tcPr>
          <w:p w14:paraId="3B473DA9" w14:textId="42F5D579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14:paraId="3715430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5BA2E9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299A9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1A96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31A7B3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9F5F28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3662F76" w14:textId="77777777" w:rsidTr="00A50CD5">
        <w:trPr>
          <w:trHeight w:val="437"/>
        </w:trPr>
        <w:tc>
          <w:tcPr>
            <w:tcW w:w="1413" w:type="dxa"/>
          </w:tcPr>
          <w:p w14:paraId="1E9FD817" w14:textId="6C0B68EF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7531B3D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ECDE00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1855F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A6D46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E2E33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6A55B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4045ED" w14:textId="1B652FE9" w:rsidR="00675AB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rPr>
          <w:rFonts w:ascii="Times New Roman" w:hAnsi="Times New Roman" w:cs="Times New Roman"/>
          <w:sz w:val="28"/>
          <w:szCs w:val="28"/>
        </w:rPr>
        <w:t>14. Занести в табл. 304.2 данные с лабораторного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0CD5">
        <w:rPr>
          <w:rFonts w:ascii="Times New Roman" w:hAnsi="Times New Roman" w:cs="Times New Roman"/>
          <w:sz w:val="28"/>
          <w:szCs w:val="28"/>
        </w:rPr>
        <w:t>макета.</w:t>
      </w:r>
    </w:p>
    <w:p w14:paraId="29BAF2B1" w14:textId="3AEED95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81442A7" wp14:editId="3C4E0A63">
            <wp:extent cx="5695950" cy="1657350"/>
            <wp:effectExtent l="0" t="0" r="0" b="0"/>
            <wp:docPr id="1673023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0238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002B" w14:textId="4F8EC31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rPr>
          <w:noProof/>
        </w:rPr>
        <w:drawing>
          <wp:inline distT="0" distB="0" distL="0" distR="0" wp14:anchorId="32DEBC3F" wp14:editId="166D6D3E">
            <wp:extent cx="4895850" cy="1543736"/>
            <wp:effectExtent l="0" t="0" r="0" b="0"/>
            <wp:docPr id="8933089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3089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8574" cy="155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213BE" w14:textId="2F1BDFE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0D3DB2C3" wp14:editId="12FF9319">
            <wp:extent cx="5172075" cy="4200525"/>
            <wp:effectExtent l="0" t="0" r="9525" b="9525"/>
            <wp:docPr id="2604752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4752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791E0" w14:textId="182E8406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B8B8EC7" wp14:editId="43F155C3">
            <wp:extent cx="5276850" cy="1571625"/>
            <wp:effectExtent l="0" t="0" r="0" b="9525"/>
            <wp:docPr id="17160956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0956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F2ED" w14:textId="46956A9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6D27C4D3" wp14:editId="29B6D0E9">
            <wp:extent cx="5648325" cy="2286000"/>
            <wp:effectExtent l="0" t="0" r="9525" b="0"/>
            <wp:docPr id="279493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4934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CE889" w14:textId="0CBE3B54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78F6B94A" wp14:editId="2C2F396E">
            <wp:extent cx="5305425" cy="1266825"/>
            <wp:effectExtent l="0" t="0" r="9525" b="9525"/>
            <wp:docPr id="2153629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629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6491D" w14:textId="7864955F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45C3467C" wp14:editId="6F73EF51">
            <wp:extent cx="5581650" cy="2447925"/>
            <wp:effectExtent l="0" t="0" r="0" b="9525"/>
            <wp:docPr id="445685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685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784FA" w14:textId="77777777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666FF5EA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9647223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EF9A864" w14:textId="4DB0E252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2D2B8430" w14:textId="0AE993B9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lastRenderedPageBreak/>
        <w:drawing>
          <wp:inline distT="0" distB="0" distL="0" distR="0" wp14:anchorId="3DD4DC86" wp14:editId="7811B718">
            <wp:extent cx="5562600" cy="7617337"/>
            <wp:effectExtent l="0" t="0" r="0" b="0"/>
            <wp:docPr id="8780718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07186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4622" cy="762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0DF3" w14:textId="493F9737" w:rsidR="0036754E" w:rsidRPr="00675AB5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lastRenderedPageBreak/>
        <w:drawing>
          <wp:inline distT="0" distB="0" distL="0" distR="0" wp14:anchorId="2798F7EB" wp14:editId="0DE9154C">
            <wp:extent cx="5505450" cy="2752725"/>
            <wp:effectExtent l="0" t="0" r="0" b="0"/>
            <wp:docPr id="3458104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81048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754E" w:rsidRPr="00675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B5"/>
    <w:rsid w:val="0036754E"/>
    <w:rsid w:val="00675AB5"/>
    <w:rsid w:val="00795132"/>
    <w:rsid w:val="0084283A"/>
    <w:rsid w:val="00A50CD5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E420"/>
  <w15:chartTrackingRefBased/>
  <w15:docId w15:val="{C8F20154-EF5B-4651-B165-75C8FF20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AB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2</cp:revision>
  <dcterms:created xsi:type="dcterms:W3CDTF">2024-03-16T11:07:00Z</dcterms:created>
  <dcterms:modified xsi:type="dcterms:W3CDTF">2024-03-16T11:07:00Z</dcterms:modified>
</cp:coreProperties>
</file>