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117309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bookmarkStart w:id="0" w:name="_Hlk161488777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МИНИСТЕРСТВО НАУКИ И ВЫСШЕГО ОБРАЗОВАНИЯ</w:t>
      </w:r>
    </w:p>
    <w:p w14:paraId="2076D6E5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РОССИЙСКОЙ ФЕДЕРАЦИИ</w:t>
      </w:r>
    </w:p>
    <w:p w14:paraId="0A1ED2A1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Федеральное государственное автономное образовательное учреждение </w:t>
      </w: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br/>
        <w:t>высшего образования</w:t>
      </w:r>
    </w:p>
    <w:p w14:paraId="5B83303F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«ЮЖНЫЙ ФЕДЕРАЛЬНЫЙ УНИВЕРСИТЕТ»</w:t>
      </w:r>
    </w:p>
    <w:p w14:paraId="52DEBED9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Институт нанотехнологий, электроники и приборостроения</w:t>
      </w:r>
    </w:p>
    <w:p w14:paraId="464C5C21" w14:textId="77777777" w:rsidR="00675AB5" w:rsidRPr="00FC2803" w:rsidRDefault="00675AB5" w:rsidP="00675AB5">
      <w:pPr>
        <w:spacing w:after="0" w:line="360" w:lineRule="auto"/>
        <w:ind w:firstLine="709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28.03.02 «</w:t>
      </w:r>
      <w:proofErr w:type="spellStart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Наноинженерия</w:t>
      </w:r>
      <w:proofErr w:type="spellEnd"/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»</w:t>
      </w:r>
    </w:p>
    <w:p w14:paraId="7A773AE5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B1B6C62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7619DBEB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Отчёт</w:t>
      </w:r>
    </w:p>
    <w:p w14:paraId="5916AAEC" w14:textId="5DDB509C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лабораторной работе №30</w:t>
      </w:r>
      <w:r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4</w:t>
      </w:r>
    </w:p>
    <w:p w14:paraId="55A816F2" w14:textId="77777777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kern w:val="0"/>
          <w:sz w:val="28"/>
          <w:szCs w:val="28"/>
          <w14:ligatures w14:val="none"/>
        </w:rPr>
        <w:t>по курсу «Физика»</w:t>
      </w:r>
    </w:p>
    <w:p w14:paraId="564E365A" w14:textId="77777777" w:rsidR="00675AB5" w:rsidRPr="00675AB5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«</w:t>
      </w: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СНЯТИЕ КРИВОЙ НАМАГНИЧИВАНИЯ И</w:t>
      </w:r>
    </w:p>
    <w:p w14:paraId="1187FD87" w14:textId="77777777" w:rsidR="00675AB5" w:rsidRPr="00675AB5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ПЕТЛИ ГИСТЕРЕЗИСА С ПОМОЩЬЮ</w:t>
      </w:r>
    </w:p>
    <w:p w14:paraId="6273C2F4" w14:textId="2915EDED" w:rsidR="00675AB5" w:rsidRPr="00FC2803" w:rsidRDefault="00675AB5" w:rsidP="00675AB5">
      <w:pPr>
        <w:spacing w:after="0" w:line="360" w:lineRule="auto"/>
        <w:jc w:val="center"/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</w:pPr>
      <w:r w:rsidRPr="00675AB5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ОСЦИЛЛОГРАФА</w:t>
      </w:r>
      <w:r w:rsidRPr="00FC2803">
        <w:rPr>
          <w:rFonts w:ascii="Times New Roman" w:eastAsia="Calibri" w:hAnsi="Times New Roman" w:cs="Times New Roman"/>
          <w:bCs/>
          <w:kern w:val="0"/>
          <w:sz w:val="28"/>
          <w:szCs w:val="28"/>
          <w14:ligatures w14:val="none"/>
        </w:rPr>
        <w:t>»</w:t>
      </w:r>
    </w:p>
    <w:p w14:paraId="0E0AFD5C" w14:textId="77777777" w:rsidR="00675AB5" w:rsidRPr="00FC2803" w:rsidRDefault="00675AB5" w:rsidP="00675AB5">
      <w:pPr>
        <w:spacing w:line="300" w:lineRule="auto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56A6696B" w14:textId="77777777" w:rsidR="00675AB5" w:rsidRPr="00FC2803" w:rsidRDefault="00675AB5" w:rsidP="00675AB5">
      <w:pPr>
        <w:spacing w:line="300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49271426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                        </w:t>
      </w:r>
    </w:p>
    <w:tbl>
      <w:tblPr>
        <w:tblStyle w:val="a3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675AB5" w:rsidRPr="00FC2803" w14:paraId="487493E4" w14:textId="77777777" w:rsidTr="006A4480">
        <w:tc>
          <w:tcPr>
            <w:tcW w:w="4111" w:type="dxa"/>
            <w:vAlign w:val="center"/>
          </w:tcPr>
          <w:p w14:paraId="7B3CCD51" w14:textId="431475EB" w:rsidR="00675AB5" w:rsidRPr="00FC2803" w:rsidRDefault="00675AB5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Выполнил:                                                                       Студент группы </w:t>
            </w:r>
            <w:proofErr w:type="spellStart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ЭПбо</w:t>
            </w:r>
            <w:proofErr w:type="spellEnd"/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 1-63                                                    </w:t>
            </w:r>
            <w:r w:rsidR="00E15514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Шиков А.З</w:t>
            </w: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 xml:space="preserve">. </w:t>
            </w:r>
          </w:p>
          <w:p w14:paraId="669DA29F" w14:textId="77777777" w:rsidR="00675AB5" w:rsidRPr="00FC2803" w:rsidRDefault="00675AB5" w:rsidP="006A4480">
            <w:pPr>
              <w:spacing w:line="360" w:lineRule="auto"/>
              <w:ind w:firstLine="27"/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sz w:val="28"/>
                <w:szCs w:val="28"/>
                <w14:ligatures w14:val="none"/>
              </w:rPr>
              <w:t>20.02.2024г.                                                     Преподаватель: Бурлаченко И.С</w:t>
            </w:r>
          </w:p>
        </w:tc>
      </w:tr>
    </w:tbl>
    <w:p w14:paraId="3B5A5B69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 xml:space="preserve">                           </w:t>
      </w:r>
    </w:p>
    <w:p w14:paraId="14718CDC" w14:textId="77777777" w:rsidR="00675AB5" w:rsidRPr="00FC2803" w:rsidRDefault="00675AB5" w:rsidP="00675AB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675AB5" w:rsidRPr="00FC2803" w14:paraId="2B01733C" w14:textId="77777777" w:rsidTr="006A4480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33592DC" w14:textId="77777777" w:rsidR="00675AB5" w:rsidRPr="00FC2803" w:rsidRDefault="00675AB5" w:rsidP="006A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194FF1F1" w14:textId="77777777" w:rsidR="00675AB5" w:rsidRPr="00FC2803" w:rsidRDefault="00675AB5" w:rsidP="006A448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b/>
                <w:kern w:val="0"/>
                <w:sz w:val="20"/>
                <w:szCs w:val="20"/>
                <w14:ligatures w14:val="none"/>
              </w:rPr>
              <w:t>ВЫПОЛНЕНИЕ</w:t>
            </w:r>
          </w:p>
        </w:tc>
      </w:tr>
      <w:tr w:rsidR="00675AB5" w:rsidRPr="00FC2803" w14:paraId="677B1C01" w14:textId="77777777" w:rsidTr="006A4480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AE7F9D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4E629A6D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37CB331F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974F8D8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  <w:r w:rsidRPr="00FC2803"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  <w:t>Подпись</w:t>
            </w:r>
          </w:p>
        </w:tc>
      </w:tr>
      <w:tr w:rsidR="00675AB5" w:rsidRPr="00FC2803" w14:paraId="65A54F56" w14:textId="77777777" w:rsidTr="006A4480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E52A3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53637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DD7B1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85082" w14:textId="77777777" w:rsidR="00675AB5" w:rsidRPr="00FC2803" w:rsidRDefault="00675AB5" w:rsidP="006A4480">
            <w:pPr>
              <w:spacing w:after="0" w:line="240" w:lineRule="auto"/>
              <w:ind w:firstLine="67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</w:tbl>
    <w:p w14:paraId="11E1745B" w14:textId="77777777" w:rsidR="00675AB5" w:rsidRPr="00FC2803" w:rsidRDefault="00675AB5" w:rsidP="00675AB5">
      <w:pPr>
        <w:spacing w:after="0" w:line="312" w:lineRule="auto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</w:p>
    <w:p w14:paraId="11397FEF" w14:textId="77777777" w:rsidR="00675AB5" w:rsidRPr="00FC2803" w:rsidRDefault="00675AB5" w:rsidP="00675AB5">
      <w:pPr>
        <w:spacing w:after="0" w:line="312" w:lineRule="auto"/>
        <w:jc w:val="center"/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</w:pPr>
      <w:r w:rsidRPr="00FC2803">
        <w:rPr>
          <w:rFonts w:ascii="Times New Roman" w:eastAsia="Times New Roman" w:hAnsi="Times New Roman" w:cs="Times New Roman"/>
          <w:kern w:val="0"/>
          <w:sz w:val="28"/>
          <w:szCs w:val="28"/>
          <w14:ligatures w14:val="none"/>
        </w:rPr>
        <w:t>Таганрог 2024 г.</w:t>
      </w:r>
    </w:p>
    <w:bookmarkEnd w:id="0"/>
    <w:p w14:paraId="325102DE" w14:textId="77777777" w:rsidR="00675AB5" w:rsidRPr="00675AB5" w:rsidRDefault="00675AB5" w:rsidP="00675AB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5AB5">
        <w:rPr>
          <w:rFonts w:ascii="Times New Roman" w:hAnsi="Times New Roman" w:cs="Times New Roman"/>
          <w:b/>
          <w:bCs/>
          <w:sz w:val="28"/>
          <w:szCs w:val="28"/>
        </w:rPr>
        <w:lastRenderedPageBreak/>
        <w:t>Цель работы</w:t>
      </w:r>
    </w:p>
    <w:p w14:paraId="1B632E8A" w14:textId="5688B6FE" w:rsidR="00795132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Изучение гистерезиса ферромагнетика, исследование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зависимости магнитной проницаемости ферромагнетика 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напряженности магнитного поля.</w:t>
      </w:r>
    </w:p>
    <w:p w14:paraId="6CCD6A38" w14:textId="6C3841EA" w:rsidR="00675AB5" w:rsidRPr="00675AB5" w:rsidRDefault="00675AB5" w:rsidP="0036754E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75AB5">
        <w:rPr>
          <w:rFonts w:ascii="Times New Roman" w:hAnsi="Times New Roman" w:cs="Times New Roman"/>
          <w:b/>
          <w:bCs/>
          <w:sz w:val="28"/>
          <w:szCs w:val="28"/>
        </w:rPr>
        <w:t>Порядок выполнения экспериментальной</w:t>
      </w:r>
      <w:r w:rsidR="0036754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b/>
          <w:bCs/>
          <w:sz w:val="28"/>
          <w:szCs w:val="28"/>
        </w:rPr>
        <w:t>части работы</w:t>
      </w:r>
    </w:p>
    <w:p w14:paraId="4926DC28" w14:textId="55E11FF9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1. Подключить лабораторный макет по схеме (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см.рис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. 304.1).</w:t>
      </w:r>
    </w:p>
    <w:p w14:paraId="238512D9" w14:textId="1DAD8641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2. Установить частоту генератора равную 1000 Гц,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выходное напряжение 8 В, а переключатель «НАГРУЗКА»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 положение – 50 Ом.</w:t>
      </w:r>
    </w:p>
    <w:p w14:paraId="419AF6DC" w14:textId="2B575973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3. Подключить питание генератора сигналов низкой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частоты (НЧ) Г3-123 и включить сетевой тумблер.</w:t>
      </w:r>
    </w:p>
    <w:p w14:paraId="409B9A1C" w14:textId="4F8C4738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4. Подключить питание осциллографа АСК-7022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включить сетевой выключатель «POWER» (СЕТЬ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)(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рис. 304.2).</w:t>
      </w:r>
    </w:p>
    <w:p w14:paraId="5325ED3F" w14:textId="45F6FAA9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5. После прогрева осциллографа,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«INTEN» (ЯРКОСТЬ) установить необходимую яркость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луча.</w:t>
      </w:r>
    </w:p>
    <w:p w14:paraId="1E68645F" w14:textId="5313E242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При необходимости произвести установку яркости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цифровой индикации регулятором «READOUT»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(ПОКАЗАНИЯ), а фокусировку луча –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«FOCUS» (ФОКУСИРОВКА).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6. Включить на осциллографе режим Х-Y, нажав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кнопку «Х-Y». При этом Канал-1 осциллографа будет</w:t>
      </w:r>
    </w:p>
    <w:p w14:paraId="00F27614" w14:textId="5849A63A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производить отклонение луча по оси Х, а Канал-2 – по оси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Y.</w:t>
      </w:r>
    </w:p>
    <w:p w14:paraId="585D2830" w14:textId="74C3A3C1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7. Установить переключателями чувствительности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каналов «VOLTS/DIV» (ВОЛЬТ/ДЕЛ.) коэффициент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отклонения Канала -1 в положение 2 V/дел., а Канала-2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положение 100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mV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/дел. При этом в левом нижнем углу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экрана цифровые индикаторы будут показывать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« 1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: 2V 2: 100mV 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036A78B" w14:textId="2DC0DE0E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 xml:space="preserve">Нажатие на ручку этого переключателя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приведѐт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установке некалиброванного коэффициента отклонения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соответствующего канала. (При этом, на экране появится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надпись: «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1 :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2V 2 : &gt; 100mV»). Этот режим не используется в данной работе, поэтому для установки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калиброванного коэффициента следует повторно нажать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эту ручку.</w:t>
      </w:r>
    </w:p>
    <w:p w14:paraId="3B405E95" w14:textId="2EED537E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8. Кнопками включения каналов «СН1» (КАНАЛ1)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«СН2» (КАНАЛ2) и с помощью регуляторов установки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положения луча на экране «POSITION» (ПОЛОЖЕНИЕ)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установите изображение петли гистерезиса в центре экране.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Положение по оси Х можно устанавливать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«POSITION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&lt; &gt;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» (в правом верхнем углу передней панели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осциллографа),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причѐм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, при нажатии кнопки «FINE»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(ПЛАВНО), производится плавная регулировка.</w:t>
      </w:r>
    </w:p>
    <w:p w14:paraId="50AF06B6" w14:textId="61F3D557" w:rsid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9. Кнопками «GND» (ЗАЗЕМЛЕНИЕ) можно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отключать сигнал, подаваемый на вход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соответствующего канала и получать линию на экране.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Таким образом, можно точнее установить положение петли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гистерезиса в центре </w:t>
      </w:r>
      <w:r w:rsidRPr="00675AB5">
        <w:rPr>
          <w:rFonts w:ascii="Times New Roman" w:hAnsi="Times New Roman" w:cs="Times New Roman"/>
          <w:sz w:val="28"/>
          <w:szCs w:val="28"/>
        </w:rPr>
        <w:lastRenderedPageBreak/>
        <w:t>экрана. Для этого нажмите кнопку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«GND» Канала-1. Так как при этом на вход Канала-1 (Вход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Х) не будет поступать сигнал, то луч будет отклоняться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только по оси Y, и на экране будет видна вертикальная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линия, которую необходимо регулятором «POSITION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&lt; &gt;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совместить с центральной вертикальной линией шкалы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экрана. После центровки по оси Х необходимо повторным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нажатием на кнопку «GND» Канала-1 снова включить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сигнал, подаваемый на вход Канала-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1.Затем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произвести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аналогичные операции с центровкой изображения по оси 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 помощью кнопки «GND» Канала-2 и регулятором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«POSITION» Канала-2</w:t>
      </w:r>
    </w:p>
    <w:p w14:paraId="6F71C634" w14:textId="0978587B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675AB5">
        <w:rPr>
          <w:rFonts w:ascii="Times New Roman" w:hAnsi="Times New Roman" w:cs="Times New Roman"/>
          <w:sz w:val="28"/>
          <w:szCs w:val="28"/>
        </w:rPr>
        <w:t>0. Кнопка «INV» (ИНВЕРТИРОВАНИЕ) в Канале-2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производит инвертирование изображения (изменения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полярности сигнала). Кнопка «ADD» (СУММИРОВАНИЕ)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 Канале-1 включает режим суммирования сигналов,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поступающих на входы каналов. В данной лабораторной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работе эти кнопки не используются и должны быть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выключены.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Кнопки «AC/DC» служат для переключения входов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каналов в режим закрытого или открытого входа.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закрытом входе на надписи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« 1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 xml:space="preserve"> : 2V 2 : 100mV » над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буквой V появляется знак « ~ ». Для уменьшения искажений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петли гистерезиса входы обоих каналов необходимо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установить в режим открытого входа (DC).</w:t>
      </w:r>
    </w:p>
    <w:p w14:paraId="7BBAC9C2" w14:textId="77777777" w:rsid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11. Установить максимальный размер изображения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петли гистерезиса с помощью декадных ступенчатых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переключателей и ручкой плавной установки выходного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напряжения генератора Г3-123.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Зарисовать на миллиметровой бумаге петлю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гистерезиса, соответствующую максимальному напряжению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8 В, подаваемому с выхода генератора ГЗ - 123 и подсчитать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число клеток β, охватываемых петлей гистерезиса.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A10A893" w14:textId="0B20932D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 xml:space="preserve">Измерение напряжений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ΔVу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пропорциональных Н и В соответственно</w:t>
      </w:r>
    </w:p>
    <w:p w14:paraId="01A5E9EE" w14:textId="720651B2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12. В осциллографе АСК-7022 есть возможность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производить измерения с помощью курсоров. В режиме Х-Y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можно измерять разность напряжения как по оси Х, так и по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оси Y, что ускоряет измерения параметров петли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гистерезиса и значительно уменьшает погрешность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измерения по сравнению с традиционными методами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измерения с помощью масштабной сетки экрана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осциллографа. Для включения курсорных измерений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необходимо нажать кнопку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OFF »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, которая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переключает виды курсоров в последовательности: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горизонтальные курсоры – вертикальные курсоры –</w:t>
      </w:r>
    </w:p>
    <w:p w14:paraId="1AA9C1DA" w14:textId="0A65F866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выкл. В режиме Х-Y оба вида курсора будут давать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показания разности ΔV по соответствующей оси.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включении горизонтальных курсоров на экране появляются</w:t>
      </w:r>
    </w:p>
    <w:p w14:paraId="376F9E35" w14:textId="0924F915" w:rsidR="00675AB5" w:rsidRP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две пунктирные горизонтальные линии курсора С1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курсора С2,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причѐм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кнопкой выбора активного курсора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«ТСК/С2» можно сделать активным любой из курсоров: С1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или С2, а в режиме ТСК (СЛЕЖЕНИЕ) будут активны </w:t>
      </w:r>
      <w:r w:rsidRPr="00675AB5">
        <w:rPr>
          <w:rFonts w:ascii="Times New Roman" w:hAnsi="Times New Roman" w:cs="Times New Roman"/>
          <w:sz w:val="28"/>
          <w:szCs w:val="28"/>
        </w:rPr>
        <w:lastRenderedPageBreak/>
        <w:t>оба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курсора (режим слежения в данной работе не используется).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 экране справа вверху появляется надпись «f: Y – C1»,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означающая что выбран режим измерения по оси Y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активен курсор С1. Если выбран активным курсор С2, то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экране появится надпись «f: Y – C2». Активный курсор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экране выделен яркой меткой на конце пунктира, и 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можно перемещать, вращая ручку «FUNCTION»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(ФУНКЦИЯ), которая при нажатии на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неѐ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осуществляет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грубое перемещение.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Выбрав кнопкой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OFF» вертикальные курсоры,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можно производить измерения разности напряжения по оси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Х. При этом на экране появится надпись: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« f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: Х – C1» или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«f: Х – C2» в зависимости от выбранного курсора.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Отсчѐт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показаний курсоров ΔV будет показан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нижнем левом углу экрана. Для режима Х-Y при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вертикальных курсорах (измерения по оси Х) показания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будут на экране в виде ΔV1 </w:t>
      </w:r>
      <w:proofErr w:type="gramStart"/>
      <w:r w:rsidRPr="00675AB5">
        <w:rPr>
          <w:rFonts w:ascii="Times New Roman" w:hAnsi="Times New Roman" w:cs="Times New Roman"/>
          <w:sz w:val="28"/>
          <w:szCs w:val="28"/>
        </w:rPr>
        <w:t>=….</w:t>
      </w:r>
      <w:proofErr w:type="gramEnd"/>
      <w:r w:rsidRPr="00675AB5">
        <w:rPr>
          <w:rFonts w:ascii="Times New Roman" w:hAnsi="Times New Roman" w:cs="Times New Roman"/>
          <w:sz w:val="28"/>
          <w:szCs w:val="28"/>
        </w:rPr>
        <w:t>V, а для горизонтальных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курсоров (измерения по оси Y) – в виде ΔV2 =….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mV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. 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нашем случае можно обозначить ΔV1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, а ΔV2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Для измерения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надо выбрать кнопкой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OFF» горизонтальные курсоры и, нажав кнопку «GND»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Канала-1, получить вертикальную линию. Затем установить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курсор С1 на нижний конец линии, а курсор С2 – 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верхний и считать показания ΔV2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с экрана.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Результаты измерений занести в табл. 304.1.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Для измерения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выбрать кнопкой «ΔV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Δt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OFF»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вертикальные курсоры и, нажав кнопку «GND» Канала-2,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получить горизонтальную линию. Затем установить курсор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С1 на левый конец линии, а курсор С2 – на правый 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 xml:space="preserve">считать показания ΔV1 =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с экрана. Результаты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измерений занести в табл. 304.1.</w:t>
      </w:r>
    </w:p>
    <w:p w14:paraId="25E738B0" w14:textId="34154D18" w:rsidR="00675AB5" w:rsidRDefault="00675AB5" w:rsidP="00675AB5">
      <w:pPr>
        <w:rPr>
          <w:rFonts w:ascii="Times New Roman" w:hAnsi="Times New Roman" w:cs="Times New Roman"/>
          <w:sz w:val="28"/>
          <w:szCs w:val="28"/>
        </w:rPr>
      </w:pPr>
      <w:r w:rsidRPr="00675AB5">
        <w:rPr>
          <w:rFonts w:ascii="Times New Roman" w:hAnsi="Times New Roman" w:cs="Times New Roman"/>
          <w:sz w:val="28"/>
          <w:szCs w:val="28"/>
        </w:rPr>
        <w:t>13. Получить на экране семейство петель гистерезиса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(6-8), уменьшая подаваемое напряжение с помощью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декадного переключателя генератора НЧ. Шаг изменяемого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75AB5">
        <w:rPr>
          <w:rFonts w:ascii="Times New Roman" w:hAnsi="Times New Roman" w:cs="Times New Roman"/>
          <w:sz w:val="28"/>
          <w:szCs w:val="28"/>
        </w:rPr>
        <w:t>напряжение 1 В. Измерить для каждой из петель величины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ΔVx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675AB5">
        <w:rPr>
          <w:rFonts w:ascii="Times New Roman" w:hAnsi="Times New Roman" w:cs="Times New Roman"/>
          <w:sz w:val="28"/>
          <w:szCs w:val="28"/>
        </w:rPr>
        <w:t>ΔVy</w:t>
      </w:r>
      <w:proofErr w:type="spellEnd"/>
      <w:r w:rsidRPr="00675AB5">
        <w:rPr>
          <w:rFonts w:ascii="Times New Roman" w:hAnsi="Times New Roman" w:cs="Times New Roman"/>
          <w:sz w:val="28"/>
          <w:szCs w:val="28"/>
        </w:rPr>
        <w:t xml:space="preserve"> (см. п. 12.), данные занести в табл. 304</w:t>
      </w:r>
      <w:r>
        <w:rPr>
          <w:rFonts w:ascii="Times New Roman" w:hAnsi="Times New Roman" w:cs="Times New Roman"/>
          <w:sz w:val="28"/>
          <w:szCs w:val="28"/>
        </w:rPr>
        <w:t>.1</w:t>
      </w:r>
      <w:r w:rsidR="00A50CD5">
        <w:rPr>
          <w:rFonts w:ascii="Times New Roman" w:hAnsi="Times New Roman" w:cs="Times New Roman"/>
          <w:sz w:val="28"/>
          <w:szCs w:val="28"/>
        </w:rPr>
        <w:t xml:space="preserve">                             табл.304.1</w:t>
      </w:r>
    </w:p>
    <w:tbl>
      <w:tblPr>
        <w:tblStyle w:val="a3"/>
        <w:tblW w:w="9893" w:type="dxa"/>
        <w:tblLook w:val="04A0" w:firstRow="1" w:lastRow="0" w:firstColumn="1" w:lastColumn="0" w:noHBand="0" w:noVBand="1"/>
      </w:tblPr>
      <w:tblGrid>
        <w:gridCol w:w="1413"/>
        <w:gridCol w:w="1413"/>
        <w:gridCol w:w="1413"/>
        <w:gridCol w:w="1413"/>
        <w:gridCol w:w="1413"/>
        <w:gridCol w:w="1414"/>
        <w:gridCol w:w="1414"/>
      </w:tblGrid>
      <w:tr w:rsidR="00A50CD5" w14:paraId="3A69B518" w14:textId="77777777" w:rsidTr="00A50CD5">
        <w:trPr>
          <w:trHeight w:val="437"/>
        </w:trPr>
        <w:tc>
          <w:tcPr>
            <w:tcW w:w="1413" w:type="dxa"/>
          </w:tcPr>
          <w:p w14:paraId="20D9C6EC" w14:textId="5D271255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п/п</w:t>
            </w:r>
          </w:p>
        </w:tc>
        <w:tc>
          <w:tcPr>
            <w:tcW w:w="1413" w:type="dxa"/>
          </w:tcPr>
          <w:p w14:paraId="5DB10727" w14:textId="6519BDD8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ΔVx</w:t>
            </w:r>
            <w:proofErr w:type="spellEnd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, В</w:t>
            </w:r>
          </w:p>
        </w:tc>
        <w:tc>
          <w:tcPr>
            <w:tcW w:w="1413" w:type="dxa"/>
          </w:tcPr>
          <w:p w14:paraId="6B6C3E94" w14:textId="0A6C86B2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ΔVy</w:t>
            </w:r>
            <w:proofErr w:type="spellEnd"/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В</w:t>
            </w:r>
          </w:p>
        </w:tc>
        <w:tc>
          <w:tcPr>
            <w:tcW w:w="1413" w:type="dxa"/>
          </w:tcPr>
          <w:p w14:paraId="32A9A4AF" w14:textId="47F8BF80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Н,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А/м</w:t>
            </w:r>
          </w:p>
        </w:tc>
        <w:tc>
          <w:tcPr>
            <w:tcW w:w="1413" w:type="dxa"/>
          </w:tcPr>
          <w:p w14:paraId="311F9D39" w14:textId="5ABEB5C2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В,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Тл</w:t>
            </w:r>
          </w:p>
        </w:tc>
        <w:tc>
          <w:tcPr>
            <w:tcW w:w="1414" w:type="dxa"/>
          </w:tcPr>
          <w:p w14:paraId="24DF70C5" w14:textId="3729A47F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μ =В/μ0Н</w:t>
            </w:r>
          </w:p>
        </w:tc>
        <w:tc>
          <w:tcPr>
            <w:tcW w:w="1414" w:type="dxa"/>
          </w:tcPr>
          <w:p w14:paraId="2AF5FFF9" w14:textId="1FAD3D8F" w:rsidR="00A50CD5" w:rsidRDefault="00A50CD5" w:rsidP="00A50C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J,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A50CD5">
              <w:rPr>
                <w:rFonts w:ascii="Times New Roman" w:hAnsi="Times New Roman" w:cs="Times New Roman"/>
                <w:sz w:val="28"/>
                <w:szCs w:val="28"/>
              </w:rPr>
              <w:t>A/м</w:t>
            </w:r>
          </w:p>
        </w:tc>
      </w:tr>
      <w:tr w:rsidR="00A50CD5" w14:paraId="34497A6A" w14:textId="77777777" w:rsidTr="00A50CD5">
        <w:trPr>
          <w:trHeight w:val="437"/>
        </w:trPr>
        <w:tc>
          <w:tcPr>
            <w:tcW w:w="1413" w:type="dxa"/>
          </w:tcPr>
          <w:p w14:paraId="0455380F" w14:textId="541F566A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13" w:type="dxa"/>
          </w:tcPr>
          <w:p w14:paraId="54543ED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EFC6C97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4DEC18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0B46996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44362D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68342A5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698FD24" w14:textId="77777777" w:rsidTr="00A50CD5">
        <w:trPr>
          <w:trHeight w:val="437"/>
        </w:trPr>
        <w:tc>
          <w:tcPr>
            <w:tcW w:w="1413" w:type="dxa"/>
          </w:tcPr>
          <w:p w14:paraId="01EA056F" w14:textId="5142F494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13" w:type="dxa"/>
          </w:tcPr>
          <w:p w14:paraId="09DF2D66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1DD4CC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1D6DA3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A7DD3B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68309AC7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2BAEA91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2137300F" w14:textId="77777777" w:rsidTr="00A50CD5">
        <w:trPr>
          <w:trHeight w:val="458"/>
        </w:trPr>
        <w:tc>
          <w:tcPr>
            <w:tcW w:w="1413" w:type="dxa"/>
          </w:tcPr>
          <w:p w14:paraId="1634339C" w14:textId="10ADA3F7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13" w:type="dxa"/>
          </w:tcPr>
          <w:p w14:paraId="6BAC9FD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87DEA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1937AE5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41DE8FF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246ACD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3C62467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06A29AC8" w14:textId="77777777" w:rsidTr="00A50CD5">
        <w:trPr>
          <w:trHeight w:val="437"/>
        </w:trPr>
        <w:tc>
          <w:tcPr>
            <w:tcW w:w="1413" w:type="dxa"/>
          </w:tcPr>
          <w:p w14:paraId="5D3B7295" w14:textId="7077F82B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13" w:type="dxa"/>
          </w:tcPr>
          <w:p w14:paraId="4CA7B4B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8CDA51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6443CC9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80D414F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F8F35D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41221AC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5ED3E73C" w14:textId="77777777" w:rsidTr="00A50CD5">
        <w:trPr>
          <w:trHeight w:val="437"/>
        </w:trPr>
        <w:tc>
          <w:tcPr>
            <w:tcW w:w="1413" w:type="dxa"/>
          </w:tcPr>
          <w:p w14:paraId="27188F39" w14:textId="457887BA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13" w:type="dxa"/>
          </w:tcPr>
          <w:p w14:paraId="743B49C2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1897F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2E68A11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514B6BC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57223E1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6D75B3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08A78C0" w14:textId="77777777" w:rsidTr="00A50CD5">
        <w:trPr>
          <w:trHeight w:val="437"/>
        </w:trPr>
        <w:tc>
          <w:tcPr>
            <w:tcW w:w="1413" w:type="dxa"/>
          </w:tcPr>
          <w:p w14:paraId="025ACBDB" w14:textId="3BFBB905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13" w:type="dxa"/>
          </w:tcPr>
          <w:p w14:paraId="704B48F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33B966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700600CD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1599D54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55F565DF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2520B5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6B650C90" w14:textId="77777777" w:rsidTr="00A50CD5">
        <w:trPr>
          <w:trHeight w:val="437"/>
        </w:trPr>
        <w:tc>
          <w:tcPr>
            <w:tcW w:w="1413" w:type="dxa"/>
          </w:tcPr>
          <w:p w14:paraId="3B473DA9" w14:textId="42F5D579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13" w:type="dxa"/>
          </w:tcPr>
          <w:p w14:paraId="3715430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45BA2E9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1299A9FA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2C1A96DE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131A7B39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9F5F28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50CD5" w14:paraId="03662F76" w14:textId="77777777" w:rsidTr="00A50CD5">
        <w:trPr>
          <w:trHeight w:val="437"/>
        </w:trPr>
        <w:tc>
          <w:tcPr>
            <w:tcW w:w="1413" w:type="dxa"/>
          </w:tcPr>
          <w:p w14:paraId="1E9FD817" w14:textId="6C0B68EF" w:rsidR="00A50CD5" w:rsidRDefault="00A50CD5" w:rsidP="00A50C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13" w:type="dxa"/>
          </w:tcPr>
          <w:p w14:paraId="7531B3DB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ECDE008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0B1855F8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3" w:type="dxa"/>
          </w:tcPr>
          <w:p w14:paraId="3FA6D46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7E2E3313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14" w:type="dxa"/>
          </w:tcPr>
          <w:p w14:paraId="4D6A55B0" w14:textId="77777777" w:rsidR="00A50CD5" w:rsidRDefault="00A50CD5" w:rsidP="00675AB5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4045ED" w14:textId="1B652FE9" w:rsidR="00675AB5" w:rsidRDefault="00A50CD5" w:rsidP="00A50CD5">
      <w:pPr>
        <w:rPr>
          <w:rFonts w:ascii="Times New Roman" w:hAnsi="Times New Roman" w:cs="Times New Roman"/>
          <w:sz w:val="28"/>
          <w:szCs w:val="28"/>
        </w:rPr>
      </w:pPr>
      <w:r w:rsidRPr="00A50CD5">
        <w:rPr>
          <w:rFonts w:ascii="Times New Roman" w:hAnsi="Times New Roman" w:cs="Times New Roman"/>
          <w:sz w:val="28"/>
          <w:szCs w:val="28"/>
        </w:rPr>
        <w:t>14. Занести в табл. 304.2 данные с лабораторного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0CD5">
        <w:rPr>
          <w:rFonts w:ascii="Times New Roman" w:hAnsi="Times New Roman" w:cs="Times New Roman"/>
          <w:sz w:val="28"/>
          <w:szCs w:val="28"/>
        </w:rPr>
        <w:t>макета.</w:t>
      </w:r>
    </w:p>
    <w:p w14:paraId="29BAF2B1" w14:textId="3AEED954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781442A7" wp14:editId="3C4E0A63">
            <wp:extent cx="5695950" cy="1657350"/>
            <wp:effectExtent l="0" t="0" r="0" b="0"/>
            <wp:docPr id="1673023883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3023883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95950" cy="1657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5F002B" w14:textId="4F8EC314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  <w:r w:rsidRPr="00A50CD5">
        <w:rPr>
          <w:noProof/>
        </w:rPr>
        <w:drawing>
          <wp:inline distT="0" distB="0" distL="0" distR="0" wp14:anchorId="32DEBC3F" wp14:editId="166D6D3E">
            <wp:extent cx="4895850" cy="1543736"/>
            <wp:effectExtent l="0" t="0" r="0" b="0"/>
            <wp:docPr id="8933089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330891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18574" cy="1550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9213BE" w14:textId="2F1BDFEC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drawing>
          <wp:inline distT="0" distB="0" distL="0" distR="0" wp14:anchorId="0D3DB2C3" wp14:editId="12FF9319">
            <wp:extent cx="5172075" cy="4200525"/>
            <wp:effectExtent l="0" t="0" r="9525" b="9525"/>
            <wp:docPr id="26047527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475277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4200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F791E0" w14:textId="182E8406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B8B8EC7" wp14:editId="43F155C3">
            <wp:extent cx="5276850" cy="1571625"/>
            <wp:effectExtent l="0" t="0" r="0" b="9525"/>
            <wp:docPr id="171609561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609561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571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82F2ED" w14:textId="46956A9C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drawing>
          <wp:inline distT="0" distB="0" distL="0" distR="0" wp14:anchorId="6D27C4D3" wp14:editId="29B6D0E9">
            <wp:extent cx="5648325" cy="2286000"/>
            <wp:effectExtent l="0" t="0" r="9525" b="0"/>
            <wp:docPr id="27949344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9493444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4832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4CE889" w14:textId="0CBE3B54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drawing>
          <wp:inline distT="0" distB="0" distL="0" distR="0" wp14:anchorId="78F6B94A" wp14:editId="2C2F396E">
            <wp:extent cx="5305425" cy="1266825"/>
            <wp:effectExtent l="0" t="0" r="9525" b="9525"/>
            <wp:docPr id="21536298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36298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126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16491D" w14:textId="7864955F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drawing>
          <wp:inline distT="0" distB="0" distL="0" distR="0" wp14:anchorId="45C3467C" wp14:editId="6F73EF51">
            <wp:extent cx="5581650" cy="2447925"/>
            <wp:effectExtent l="0" t="0" r="0" b="9525"/>
            <wp:docPr id="4456850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568502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1650" cy="2447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A784FA" w14:textId="77777777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666FF5EA" w14:textId="77777777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79647223" w14:textId="77777777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</w:p>
    <w:p w14:paraId="6EF9A864" w14:textId="4DB0E252" w:rsidR="00A50CD5" w:rsidRDefault="00A50CD5" w:rsidP="00A50CD5">
      <w:pPr>
        <w:rPr>
          <w:rFonts w:ascii="Times New Roman" w:hAnsi="Times New Roman" w:cs="Times New Roman"/>
          <w:sz w:val="28"/>
          <w:szCs w:val="28"/>
        </w:rPr>
      </w:pPr>
    </w:p>
    <w:p w14:paraId="2D2B8430" w14:textId="0AE993B9" w:rsidR="0036754E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lastRenderedPageBreak/>
        <w:drawing>
          <wp:inline distT="0" distB="0" distL="0" distR="0" wp14:anchorId="3DD4DC86" wp14:editId="7811B718">
            <wp:extent cx="5562600" cy="7617337"/>
            <wp:effectExtent l="0" t="0" r="0" b="0"/>
            <wp:docPr id="87807186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8071869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64622" cy="7620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200DF3" w14:textId="493F9737" w:rsidR="0036754E" w:rsidRPr="00675AB5" w:rsidRDefault="0036754E" w:rsidP="00A50CD5">
      <w:pPr>
        <w:rPr>
          <w:rFonts w:ascii="Times New Roman" w:hAnsi="Times New Roman" w:cs="Times New Roman"/>
          <w:sz w:val="28"/>
          <w:szCs w:val="28"/>
        </w:rPr>
      </w:pPr>
      <w:r w:rsidRPr="0036754E">
        <w:rPr>
          <w:noProof/>
        </w:rPr>
        <w:lastRenderedPageBreak/>
        <w:drawing>
          <wp:inline distT="0" distB="0" distL="0" distR="0" wp14:anchorId="2798F7EB" wp14:editId="0DE9154C">
            <wp:extent cx="5505450" cy="2752725"/>
            <wp:effectExtent l="0" t="0" r="0" b="0"/>
            <wp:docPr id="34581048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5810485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05450" cy="2752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6754E" w:rsidRPr="00675A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5AB5"/>
    <w:rsid w:val="0036754E"/>
    <w:rsid w:val="00675AB5"/>
    <w:rsid w:val="00795132"/>
    <w:rsid w:val="0084283A"/>
    <w:rsid w:val="00A50CD5"/>
    <w:rsid w:val="00E15514"/>
    <w:rsid w:val="00F6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D6E420"/>
  <w15:chartTrackingRefBased/>
  <w15:docId w15:val="{C8F20154-EF5B-4651-B165-75C8FF2021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75A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75AB5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1126</Words>
  <Characters>6420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Яковенко Мария Сергеевна</dc:creator>
  <cp:keywords/>
  <dc:description/>
  <cp:lastModifiedBy>Яковенко Мария Сергеевна</cp:lastModifiedBy>
  <cp:revision>2</cp:revision>
  <dcterms:created xsi:type="dcterms:W3CDTF">2024-03-19T03:43:00Z</dcterms:created>
  <dcterms:modified xsi:type="dcterms:W3CDTF">2024-03-19T03:43:00Z</dcterms:modified>
</cp:coreProperties>
</file>